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D8" w:rsidRDefault="001C74D8" w:rsidP="00FB40AF">
      <w:pPr>
        <w:jc w:val="both"/>
        <w:rPr>
          <w:rFonts w:ascii="Arial" w:hAnsi="Arial" w:cs="Arial"/>
        </w:rPr>
      </w:pPr>
      <w:r>
        <w:rPr>
          <w:rFonts w:ascii="Arial" w:hAnsi="Arial" w:cs="Arial"/>
        </w:rPr>
        <w:t>The queries and draft replies to clarifications are as under:-</w:t>
      </w:r>
    </w:p>
    <w:tbl>
      <w:tblPr>
        <w:tblStyle w:val="TableGrid"/>
        <w:tblW w:w="8100" w:type="dxa"/>
        <w:tblInd w:w="558" w:type="dxa"/>
        <w:tblLook w:val="04A0"/>
      </w:tblPr>
      <w:tblGrid>
        <w:gridCol w:w="4230"/>
        <w:gridCol w:w="3870"/>
      </w:tblGrid>
      <w:tr w:rsidR="001C74D8" w:rsidTr="00FB40AF">
        <w:tc>
          <w:tcPr>
            <w:tcW w:w="4230" w:type="dxa"/>
          </w:tcPr>
          <w:p w:rsidR="001C74D8" w:rsidRDefault="001C74D8" w:rsidP="00863C1B">
            <w:pPr>
              <w:rPr>
                <w:rFonts w:ascii="Arial" w:hAnsi="Arial" w:cs="Arial"/>
                <w:b/>
                <w:bCs/>
                <w:sz w:val="24"/>
                <w:szCs w:val="24"/>
              </w:rPr>
            </w:pPr>
            <w:r>
              <w:rPr>
                <w:rFonts w:ascii="Arial" w:hAnsi="Arial" w:cs="Arial"/>
                <w:b/>
                <w:bCs/>
                <w:sz w:val="24"/>
                <w:szCs w:val="24"/>
              </w:rPr>
              <w:t xml:space="preserve">Queries  by </w:t>
            </w:r>
            <w:r w:rsidRPr="00B70CE8">
              <w:rPr>
                <w:rFonts w:ascii="Arial" w:hAnsi="Arial" w:cs="Arial"/>
                <w:b/>
                <w:bCs/>
              </w:rPr>
              <w:t xml:space="preserve">M/s Luminous </w:t>
            </w:r>
            <w:proofErr w:type="spellStart"/>
            <w:r w:rsidRPr="00B70CE8">
              <w:rPr>
                <w:rFonts w:ascii="Arial" w:hAnsi="Arial" w:cs="Arial"/>
                <w:b/>
                <w:bCs/>
              </w:rPr>
              <w:t>Infoways</w:t>
            </w:r>
            <w:proofErr w:type="spellEnd"/>
            <w:r w:rsidRPr="00B70CE8">
              <w:rPr>
                <w:rFonts w:ascii="Arial" w:hAnsi="Arial" w:cs="Arial"/>
                <w:b/>
                <w:bCs/>
              </w:rPr>
              <w:t xml:space="preserve"> Pvt. Ltd.</w:t>
            </w:r>
          </w:p>
        </w:tc>
        <w:tc>
          <w:tcPr>
            <w:tcW w:w="3870" w:type="dxa"/>
          </w:tcPr>
          <w:p w:rsidR="001C74D8" w:rsidRDefault="001C74D8" w:rsidP="00863C1B">
            <w:pPr>
              <w:rPr>
                <w:rFonts w:ascii="Arial" w:hAnsi="Arial" w:cs="Arial"/>
                <w:b/>
                <w:bCs/>
                <w:sz w:val="24"/>
                <w:szCs w:val="24"/>
              </w:rPr>
            </w:pPr>
            <w:r>
              <w:rPr>
                <w:rFonts w:ascii="Arial" w:hAnsi="Arial" w:cs="Arial"/>
                <w:b/>
                <w:bCs/>
                <w:sz w:val="24"/>
                <w:szCs w:val="24"/>
              </w:rPr>
              <w:t>Clarifications by NHIDCL</w:t>
            </w:r>
          </w:p>
        </w:tc>
      </w:tr>
      <w:tr w:rsidR="001C74D8" w:rsidTr="00FB40AF">
        <w:tc>
          <w:tcPr>
            <w:tcW w:w="4230" w:type="dxa"/>
          </w:tcPr>
          <w:p w:rsidR="001C74D8" w:rsidRPr="00B957C7" w:rsidRDefault="001C74D8" w:rsidP="00863C1B">
            <w:pPr>
              <w:rPr>
                <w:rFonts w:ascii="Arial" w:hAnsi="Arial" w:cs="Arial"/>
                <w:sz w:val="24"/>
                <w:szCs w:val="24"/>
              </w:rPr>
            </w:pPr>
            <w:r>
              <w:rPr>
                <w:rFonts w:ascii="Arial" w:hAnsi="Arial" w:cs="Arial"/>
                <w:sz w:val="24"/>
                <w:szCs w:val="24"/>
              </w:rPr>
              <w:t>Uniform provided for MTS or for all staff</w:t>
            </w:r>
          </w:p>
        </w:tc>
        <w:tc>
          <w:tcPr>
            <w:tcW w:w="3870" w:type="dxa"/>
          </w:tcPr>
          <w:p w:rsidR="001C74D8" w:rsidRPr="000562FF" w:rsidRDefault="001C74D8" w:rsidP="00863C1B">
            <w:pPr>
              <w:rPr>
                <w:rFonts w:ascii="Arial" w:hAnsi="Arial" w:cs="Arial"/>
                <w:sz w:val="24"/>
                <w:szCs w:val="24"/>
              </w:rPr>
            </w:pPr>
            <w:r>
              <w:rPr>
                <w:rFonts w:ascii="Arial" w:hAnsi="Arial" w:cs="Arial"/>
                <w:caps/>
                <w:sz w:val="24"/>
                <w:szCs w:val="24"/>
              </w:rPr>
              <w:t>A</w:t>
            </w:r>
            <w:r>
              <w:rPr>
                <w:rFonts w:ascii="Arial" w:hAnsi="Arial" w:cs="Arial"/>
                <w:sz w:val="24"/>
                <w:szCs w:val="24"/>
              </w:rPr>
              <w:t>ll Office Staff (Outsourced)</w:t>
            </w:r>
          </w:p>
        </w:tc>
      </w:tr>
      <w:tr w:rsidR="001C74D8" w:rsidTr="00FB40AF">
        <w:tc>
          <w:tcPr>
            <w:tcW w:w="4230" w:type="dxa"/>
          </w:tcPr>
          <w:p w:rsidR="001C74D8" w:rsidRDefault="001C74D8" w:rsidP="00863C1B">
            <w:pPr>
              <w:rPr>
                <w:rFonts w:ascii="Arial" w:hAnsi="Arial" w:cs="Arial"/>
                <w:sz w:val="24"/>
                <w:szCs w:val="24"/>
              </w:rPr>
            </w:pPr>
            <w:r>
              <w:rPr>
                <w:rFonts w:ascii="Arial" w:hAnsi="Arial" w:cs="Arial"/>
                <w:sz w:val="24"/>
                <w:szCs w:val="24"/>
              </w:rPr>
              <w:t>Allow 1 project of work order value less than minimum 50 lakh in previous 7 years</w:t>
            </w:r>
          </w:p>
        </w:tc>
        <w:tc>
          <w:tcPr>
            <w:tcW w:w="3870" w:type="dxa"/>
          </w:tcPr>
          <w:p w:rsidR="001C74D8" w:rsidRPr="000562FF" w:rsidRDefault="001C74D8" w:rsidP="00863C1B">
            <w:pPr>
              <w:rPr>
                <w:rFonts w:ascii="Arial" w:hAnsi="Arial" w:cs="Arial"/>
                <w:sz w:val="24"/>
                <w:szCs w:val="24"/>
              </w:rPr>
            </w:pPr>
            <w:r>
              <w:rPr>
                <w:rFonts w:ascii="Arial" w:hAnsi="Arial" w:cs="Arial"/>
                <w:sz w:val="24"/>
                <w:szCs w:val="24"/>
              </w:rPr>
              <w:t>Not allowed, please refer RFP document</w:t>
            </w:r>
          </w:p>
        </w:tc>
      </w:tr>
      <w:tr w:rsidR="001C74D8" w:rsidTr="00FB40AF">
        <w:tc>
          <w:tcPr>
            <w:tcW w:w="4230" w:type="dxa"/>
          </w:tcPr>
          <w:p w:rsidR="001C74D8" w:rsidRDefault="001C74D8" w:rsidP="00863C1B">
            <w:pPr>
              <w:rPr>
                <w:rFonts w:ascii="Arial" w:hAnsi="Arial" w:cs="Arial"/>
                <w:sz w:val="24"/>
                <w:szCs w:val="24"/>
              </w:rPr>
            </w:pPr>
            <w:r>
              <w:rPr>
                <w:rFonts w:ascii="Arial" w:hAnsi="Arial" w:cs="Arial"/>
                <w:sz w:val="24"/>
                <w:szCs w:val="24"/>
              </w:rPr>
              <w:t>Remuneration salary fix by department can be share or not</w:t>
            </w:r>
          </w:p>
        </w:tc>
        <w:tc>
          <w:tcPr>
            <w:tcW w:w="3870" w:type="dxa"/>
          </w:tcPr>
          <w:p w:rsidR="001C74D8" w:rsidRPr="000562FF" w:rsidRDefault="001C74D8" w:rsidP="00863C1B">
            <w:pPr>
              <w:rPr>
                <w:rFonts w:ascii="Arial" w:hAnsi="Arial" w:cs="Arial"/>
                <w:sz w:val="24"/>
                <w:szCs w:val="24"/>
              </w:rPr>
            </w:pPr>
            <w:r>
              <w:rPr>
                <w:rFonts w:ascii="Arial" w:hAnsi="Arial" w:cs="Arial"/>
                <w:sz w:val="24"/>
                <w:szCs w:val="24"/>
              </w:rPr>
              <w:t>Remuneration shall be decided by the department. However, it may be equal or more than the prevailing minimum wages depending upon qualification and experience of the candidates</w:t>
            </w:r>
          </w:p>
        </w:tc>
      </w:tr>
      <w:tr w:rsidR="001C74D8" w:rsidTr="00FB40AF">
        <w:tc>
          <w:tcPr>
            <w:tcW w:w="4230" w:type="dxa"/>
          </w:tcPr>
          <w:p w:rsidR="001C74D8" w:rsidRDefault="001C74D8" w:rsidP="00863C1B">
            <w:pPr>
              <w:rPr>
                <w:rFonts w:ascii="Arial" w:hAnsi="Arial" w:cs="Arial"/>
                <w:sz w:val="24"/>
                <w:szCs w:val="24"/>
              </w:rPr>
            </w:pPr>
            <w:r>
              <w:rPr>
                <w:rFonts w:ascii="Arial" w:hAnsi="Arial" w:cs="Arial"/>
                <w:sz w:val="24"/>
                <w:szCs w:val="24"/>
              </w:rPr>
              <w:t>Details of available infrastructure in terms of systems for recruitment and placing professional Management resources, both in terms of physical infrastructure as well as online resources. How to justify this on papers? What papers we shall submit</w:t>
            </w:r>
          </w:p>
        </w:tc>
        <w:tc>
          <w:tcPr>
            <w:tcW w:w="3870" w:type="dxa"/>
          </w:tcPr>
          <w:p w:rsidR="001C74D8" w:rsidRPr="00C265E2" w:rsidRDefault="001C74D8" w:rsidP="00863C1B">
            <w:pPr>
              <w:rPr>
                <w:rFonts w:ascii="Arial" w:hAnsi="Arial" w:cs="Arial"/>
                <w:sz w:val="24"/>
                <w:szCs w:val="24"/>
              </w:rPr>
            </w:pPr>
            <w:r>
              <w:rPr>
                <w:rFonts w:ascii="Arial" w:hAnsi="Arial" w:cs="Arial"/>
                <w:sz w:val="24"/>
                <w:szCs w:val="24"/>
              </w:rPr>
              <w:t>The bidder has to provide the details of Infrastructure of firms, such as details of firms website, online recruitment process, facilities for submission of online applications by candidates etc.</w:t>
            </w:r>
          </w:p>
        </w:tc>
      </w:tr>
      <w:tr w:rsidR="001C74D8" w:rsidTr="00FB40AF">
        <w:tc>
          <w:tcPr>
            <w:tcW w:w="4230" w:type="dxa"/>
          </w:tcPr>
          <w:p w:rsidR="001C74D8" w:rsidRDefault="001C74D8" w:rsidP="00863C1B">
            <w:pPr>
              <w:rPr>
                <w:rFonts w:ascii="Arial" w:hAnsi="Arial" w:cs="Arial"/>
                <w:sz w:val="24"/>
                <w:szCs w:val="24"/>
              </w:rPr>
            </w:pPr>
            <w:r>
              <w:rPr>
                <w:rFonts w:ascii="Arial" w:hAnsi="Arial" w:cs="Arial"/>
                <w:sz w:val="24"/>
                <w:szCs w:val="24"/>
              </w:rPr>
              <w:t>Required manpower already existing or fresh requirement</w:t>
            </w:r>
          </w:p>
        </w:tc>
        <w:tc>
          <w:tcPr>
            <w:tcW w:w="3870" w:type="dxa"/>
          </w:tcPr>
          <w:p w:rsidR="001C74D8" w:rsidRPr="000562FF" w:rsidRDefault="001C74D8" w:rsidP="00863C1B">
            <w:pPr>
              <w:rPr>
                <w:rFonts w:ascii="Arial" w:hAnsi="Arial" w:cs="Arial"/>
                <w:sz w:val="24"/>
                <w:szCs w:val="24"/>
              </w:rPr>
            </w:pPr>
            <w:r>
              <w:rPr>
                <w:rFonts w:ascii="Arial" w:hAnsi="Arial" w:cs="Arial"/>
                <w:sz w:val="24"/>
                <w:szCs w:val="24"/>
              </w:rPr>
              <w:t>Some may be available, rest may have to be identified by the Agency</w:t>
            </w:r>
          </w:p>
        </w:tc>
      </w:tr>
      <w:tr w:rsidR="001C74D8" w:rsidTr="00FB40AF">
        <w:tc>
          <w:tcPr>
            <w:tcW w:w="4230" w:type="dxa"/>
          </w:tcPr>
          <w:p w:rsidR="001C74D8" w:rsidRDefault="001C74D8" w:rsidP="00863C1B">
            <w:pPr>
              <w:rPr>
                <w:rFonts w:ascii="Arial" w:hAnsi="Arial" w:cs="Arial"/>
                <w:sz w:val="24"/>
                <w:szCs w:val="24"/>
              </w:rPr>
            </w:pPr>
            <w:r>
              <w:rPr>
                <w:rFonts w:ascii="Arial" w:hAnsi="Arial" w:cs="Arial"/>
                <w:sz w:val="24"/>
                <w:szCs w:val="24"/>
              </w:rPr>
              <w:t>Bidder can submit NSIC certificate to exempt from the submission of EMD &amp; Tender Fees</w:t>
            </w:r>
          </w:p>
        </w:tc>
        <w:tc>
          <w:tcPr>
            <w:tcW w:w="3870" w:type="dxa"/>
          </w:tcPr>
          <w:p w:rsidR="001C74D8" w:rsidRPr="000562FF" w:rsidRDefault="001C74D8" w:rsidP="00863C1B">
            <w:pPr>
              <w:rPr>
                <w:rFonts w:ascii="Arial" w:hAnsi="Arial" w:cs="Arial"/>
                <w:sz w:val="24"/>
                <w:szCs w:val="24"/>
              </w:rPr>
            </w:pPr>
            <w:r>
              <w:rPr>
                <w:rFonts w:ascii="Arial" w:hAnsi="Arial" w:cs="Arial"/>
                <w:sz w:val="24"/>
                <w:szCs w:val="24"/>
              </w:rPr>
              <w:t>Yes, only EMD and Tender Fees may be exempted, as per rules, on submission of valid NSIC certificate. However  the performance of monetary L1 quote received from other  bidder shall not  be  made applicable  in finalization of the most preferred bidder</w:t>
            </w:r>
          </w:p>
        </w:tc>
      </w:tr>
    </w:tbl>
    <w:p w:rsidR="00B85F74" w:rsidRDefault="00B85F74"/>
    <w:sectPr w:rsidR="00B85F74" w:rsidSect="00FB40AF">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1C74D8"/>
    <w:rsid w:val="001C74D8"/>
    <w:rsid w:val="003861C5"/>
    <w:rsid w:val="00461A33"/>
    <w:rsid w:val="004D28E8"/>
    <w:rsid w:val="00944B81"/>
    <w:rsid w:val="00B85F74"/>
    <w:rsid w:val="00E94F16"/>
    <w:rsid w:val="00FB40A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4D8"/>
    <w:pPr>
      <w:spacing w:after="200" w:line="276" w:lineRule="auto"/>
      <w:jc w:val="left"/>
    </w:pPr>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4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nhidcl</dc:creator>
  <cp:lastModifiedBy>nhidcl</cp:lastModifiedBy>
  <cp:revision>2</cp:revision>
  <dcterms:created xsi:type="dcterms:W3CDTF">2016-04-12T10:24:00Z</dcterms:created>
  <dcterms:modified xsi:type="dcterms:W3CDTF">2016-04-12T10:31:00Z</dcterms:modified>
</cp:coreProperties>
</file>